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9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6F6326" w:rsidTr="00834D72">
        <w:tc>
          <w:tcPr>
            <w:tcW w:w="4821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B87695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to complete the full capital works to convert the Floyds Row building into a Homeless Shelter and Assessment Hub</w:t>
            </w:r>
          </w:p>
        </w:tc>
      </w:tr>
      <w:tr w:rsidR="006F6326" w:rsidTr="00834D72">
        <w:tc>
          <w:tcPr>
            <w:tcW w:w="4821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103" w:type="dxa"/>
          </w:tcPr>
          <w:p w:rsidR="00263039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November 2019</w:t>
            </w:r>
          </w:p>
        </w:tc>
      </w:tr>
      <w:tr w:rsidR="00854133" w:rsidTr="00834D72">
        <w:tc>
          <w:tcPr>
            <w:tcW w:w="4821" w:type="dxa"/>
          </w:tcPr>
          <w:p w:rsidR="00854133" w:rsidRPr="00854133" w:rsidRDefault="00854133" w:rsidP="00834D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how the decision was delegated.  Was it an express delegation made at a meeting of Council / </w:t>
            </w:r>
            <w:r w:rsidR="00834D72">
              <w:rPr>
                <w:rFonts w:ascii="Arial" w:hAnsi="Arial" w:cs="Arial"/>
              </w:rPr>
              <w:t>Cabinet</w:t>
            </w:r>
            <w:r>
              <w:rPr>
                <w:rFonts w:ascii="Arial" w:hAnsi="Arial" w:cs="Arial"/>
              </w:rPr>
              <w:t xml:space="preserve"> or a general delegation under the Council’s Constitution? Please provide details.</w:t>
            </w:r>
          </w:p>
        </w:tc>
        <w:tc>
          <w:tcPr>
            <w:tcW w:w="5103" w:type="dxa"/>
          </w:tcPr>
          <w:p w:rsidR="00854133" w:rsidRPr="00E20A54" w:rsidRDefault="00B71FB9" w:rsidP="00B7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on 3 October 2019 delegated authority to the Assistant Chief Executive </w:t>
            </w:r>
            <w:r w:rsidRPr="00B71FB9">
              <w:rPr>
                <w:rFonts w:ascii="Arial" w:hAnsi="Arial" w:cs="Arial"/>
              </w:rPr>
              <w:t>in consultation with the Head of Finance and Head of Law and Governance</w:t>
            </w:r>
            <w:r>
              <w:rPr>
                <w:rFonts w:ascii="Arial" w:hAnsi="Arial" w:cs="Arial"/>
              </w:rPr>
              <w:t xml:space="preserve"> t</w:t>
            </w:r>
            <w:r w:rsidRPr="00B71FB9">
              <w:rPr>
                <w:rFonts w:ascii="Arial" w:hAnsi="Arial" w:cs="Arial"/>
              </w:rPr>
              <w:t>o enter into contracts to complete the full capital works to convert the building (phases 1 and 2), on the basis that in the opinion of the Head of Finance, that this co</w:t>
            </w:r>
            <w:r>
              <w:rPr>
                <w:rFonts w:ascii="Arial" w:hAnsi="Arial" w:cs="Arial"/>
              </w:rPr>
              <w:t>ntinues to represent best value.</w:t>
            </w:r>
          </w:p>
        </w:tc>
      </w:tr>
      <w:tr w:rsidR="00B87695" w:rsidTr="00834D72">
        <w:tc>
          <w:tcPr>
            <w:tcW w:w="4821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5103" w:type="dxa"/>
          </w:tcPr>
          <w:p w:rsidR="006247C4" w:rsidRDefault="00B71FB9" w:rsidP="00B7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 Council’s service development strategy to prevent and reduce rough sleeping, to award a contract to Oxford Direct Services Limited for the phase 1 and phase 2 refurbishment of the Floyds Row site as a homeless shelter and assessment hub.</w:t>
            </w:r>
          </w:p>
          <w:p w:rsidR="00B71FB9" w:rsidRDefault="00B71FB9" w:rsidP="00B71FB9">
            <w:pPr>
              <w:rPr>
                <w:rFonts w:ascii="Arial" w:hAnsi="Arial" w:cs="Arial"/>
              </w:rPr>
            </w:pPr>
          </w:p>
          <w:p w:rsidR="00B71FB9" w:rsidRDefault="00B71FB9" w:rsidP="00B7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information: the value of the contract with ODSL</w:t>
            </w:r>
          </w:p>
          <w:p w:rsidR="005E5DF5" w:rsidRDefault="005E5DF5" w:rsidP="00B71FB9">
            <w:pPr>
              <w:rPr>
                <w:rFonts w:ascii="Arial" w:hAnsi="Arial" w:cs="Arial"/>
              </w:rPr>
            </w:pPr>
          </w:p>
          <w:p w:rsidR="005E5DF5" w:rsidRPr="00A96C08" w:rsidRDefault="005E5DF5" w:rsidP="00900DA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7695" w:rsidTr="00834D72">
        <w:tc>
          <w:tcPr>
            <w:tcW w:w="4821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5103" w:type="dxa"/>
          </w:tcPr>
          <w:p w:rsidR="00B87695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Assistant Chief Executive</w:t>
            </w:r>
          </w:p>
        </w:tc>
      </w:tr>
      <w:tr w:rsidR="006F6326" w:rsidTr="00834D72">
        <w:tc>
          <w:tcPr>
            <w:tcW w:w="4821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5103" w:type="dxa"/>
          </w:tcPr>
          <w:p w:rsidR="00263039" w:rsidRDefault="00B71FB9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Doing nothing was considered however this option does not improve rough sleeping in Oxford.</w:t>
            </w:r>
          </w:p>
          <w:p w:rsidR="00B71FB9" w:rsidRDefault="00B71FB9" w:rsidP="00DD1A34">
            <w:pPr>
              <w:rPr>
                <w:rFonts w:ascii="Arial" w:hAnsi="Arial" w:cs="Arial"/>
              </w:rPr>
            </w:pPr>
          </w:p>
          <w:p w:rsidR="00B71FB9" w:rsidRPr="00A96C08" w:rsidRDefault="00B71FB9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locations have been considered but none have been appropriate or acceptable to partner service providers.</w:t>
            </w:r>
          </w:p>
        </w:tc>
      </w:tr>
      <w:tr w:rsidR="006F6326" w:rsidTr="00834D72">
        <w:tc>
          <w:tcPr>
            <w:tcW w:w="4821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</w:p>
        </w:tc>
        <w:tc>
          <w:tcPr>
            <w:tcW w:w="5103" w:type="dxa"/>
          </w:tcPr>
          <w:p w:rsidR="006F6326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business case dated 5 August 2019 along with supporting documents.</w:t>
            </w:r>
          </w:p>
        </w:tc>
      </w:tr>
      <w:tr w:rsidR="006F6326" w:rsidTr="00834D72">
        <w:tc>
          <w:tcPr>
            <w:tcW w:w="4821" w:type="dxa"/>
          </w:tcPr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>(see notes overleaf):</w:t>
            </w:r>
          </w:p>
        </w:tc>
        <w:tc>
          <w:tcPr>
            <w:tcW w:w="5103" w:type="dxa"/>
          </w:tcPr>
          <w:p w:rsidR="006F6326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34D72">
        <w:tc>
          <w:tcPr>
            <w:tcW w:w="4821" w:type="dxa"/>
          </w:tcPr>
          <w:p w:rsidR="006F6326" w:rsidRPr="006F6326" w:rsidRDefault="006F6326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6F6326">
              <w:rPr>
                <w:rFonts w:ascii="Arial" w:hAnsi="Arial" w:cs="Arial"/>
                <w:b/>
              </w:rPr>
              <w:t>Wards 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6F6326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Carfax</w:t>
            </w:r>
          </w:p>
        </w:tc>
      </w:tr>
      <w:tr w:rsidR="006F6326" w:rsidTr="00834D72">
        <w:tc>
          <w:tcPr>
            <w:tcW w:w="4821" w:type="dxa"/>
          </w:tcPr>
          <w:p w:rsidR="006F6326" w:rsidRPr="006F6326" w:rsidRDefault="006F6326" w:rsidP="00834D72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3B1236" w:rsidRPr="003B1236">
              <w:rPr>
                <w:rFonts w:ascii="Arial" w:hAnsi="Arial" w:cs="Arial"/>
              </w:rPr>
              <w:t>B</w:t>
            </w:r>
            <w:r w:rsidR="00B87695" w:rsidRPr="003B1236">
              <w:rPr>
                <w:rFonts w:ascii="Arial" w:hAnsi="Arial" w:cs="Arial"/>
              </w:rPr>
              <w:t>y</w:t>
            </w:r>
            <w:r w:rsidRPr="003B1236">
              <w:rPr>
                <w:rFonts w:ascii="Arial" w:hAnsi="Arial" w:cs="Arial"/>
              </w:rPr>
              <w:t xml:space="preserve"> any </w:t>
            </w:r>
            <w:r w:rsidR="00834D72">
              <w:rPr>
                <w:rFonts w:ascii="Arial" w:hAnsi="Arial" w:cs="Arial"/>
              </w:rPr>
              <w:t>Cabinet</w:t>
            </w:r>
            <w:r w:rsidR="00F11FD1" w:rsidRPr="003B1236">
              <w:rPr>
                <w:rFonts w:ascii="Arial" w:hAnsi="Arial" w:cs="Arial"/>
              </w:rPr>
              <w:t xml:space="preserve"> m</w:t>
            </w:r>
            <w:r w:rsidRPr="003B1236">
              <w:rPr>
                <w:rFonts w:ascii="Arial" w:hAnsi="Arial" w:cs="Arial"/>
              </w:rPr>
              <w:t>ember</w:t>
            </w:r>
            <w:r w:rsidR="00B87695" w:rsidRPr="003B1236">
              <w:rPr>
                <w:rFonts w:ascii="Arial" w:hAnsi="Arial" w:cs="Arial"/>
              </w:rPr>
              <w:t xml:space="preserve"> </w:t>
            </w:r>
            <w:r w:rsidRPr="003B1236">
              <w:rPr>
                <w:rFonts w:ascii="Arial" w:hAnsi="Arial" w:cs="Arial"/>
              </w:rPr>
              <w:t>consulted</w:t>
            </w:r>
            <w:r w:rsidR="00B87695" w:rsidRPr="003B1236">
              <w:rPr>
                <w:rFonts w:ascii="Arial" w:hAnsi="Arial" w:cs="Arial"/>
              </w:rPr>
              <w:t xml:space="preserve"> over decision</w:t>
            </w:r>
            <w:r w:rsidR="003B1236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:rsidR="006F6326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declared</w:t>
            </w:r>
          </w:p>
        </w:tc>
      </w:tr>
      <w:tr w:rsidR="00B87695" w:rsidTr="00834D72">
        <w:tc>
          <w:tcPr>
            <w:tcW w:w="4821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</w:tcPr>
          <w:p w:rsidR="00DD1A34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Brown </w:t>
            </w:r>
          </w:p>
          <w:p w:rsidR="00B71FB9" w:rsidRDefault="00B71FB9" w:rsidP="008A22C6">
            <w:pPr>
              <w:rPr>
                <w:rFonts w:ascii="Arial" w:hAnsi="Arial" w:cs="Arial"/>
              </w:rPr>
            </w:pPr>
          </w:p>
          <w:p w:rsidR="00B71FB9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</w:t>
            </w:r>
          </w:p>
          <w:p w:rsidR="00B71FB9" w:rsidRDefault="00B71FB9" w:rsidP="008A22C6">
            <w:pPr>
              <w:rPr>
                <w:rFonts w:ascii="Arial" w:hAnsi="Arial" w:cs="Arial"/>
              </w:rPr>
            </w:pPr>
          </w:p>
          <w:p w:rsidR="00B71FB9" w:rsidRPr="00A96C08" w:rsidRDefault="00B71FB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February 2020</w:t>
            </w:r>
          </w:p>
        </w:tc>
      </w:tr>
    </w:tbl>
    <w:p w:rsidR="006F6326" w:rsidRDefault="006F6326" w:rsidP="008A22C6"/>
    <w:p w:rsidR="00BE1FD4" w:rsidRDefault="003505E0" w:rsidP="00231385">
      <w:pPr>
        <w:ind w:left="-426"/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Member and Committee 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>deadline is within 2 working days of th</w:t>
      </w:r>
      <w:r w:rsidR="000173BF">
        <w:rPr>
          <w:rFonts w:ascii="Arial" w:hAnsi="Arial" w:cs="Arial"/>
        </w:rPr>
        <w:t>is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lease refer to the notes overleaf.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a specific delegation granted at a meeting of Council or </w:t>
      </w:r>
      <w:r w:rsidR="00834D72">
        <w:rPr>
          <w:rFonts w:ascii="Arial" w:hAnsi="Arial" w:cs="Arial"/>
        </w:rPr>
        <w:t>Cabinet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lastRenderedPageBreak/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63039"/>
    <w:rsid w:val="002A07C9"/>
    <w:rsid w:val="002E61DD"/>
    <w:rsid w:val="0031474B"/>
    <w:rsid w:val="00335A9B"/>
    <w:rsid w:val="003505E0"/>
    <w:rsid w:val="003547CD"/>
    <w:rsid w:val="003B1236"/>
    <w:rsid w:val="004000D7"/>
    <w:rsid w:val="00424A92"/>
    <w:rsid w:val="004B1944"/>
    <w:rsid w:val="00504E43"/>
    <w:rsid w:val="00532DF2"/>
    <w:rsid w:val="005C6416"/>
    <w:rsid w:val="005E37E4"/>
    <w:rsid w:val="005E5DF5"/>
    <w:rsid w:val="00616F3F"/>
    <w:rsid w:val="006247C4"/>
    <w:rsid w:val="006F6326"/>
    <w:rsid w:val="006F6731"/>
    <w:rsid w:val="007908F4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900DAC"/>
    <w:rsid w:val="00986C99"/>
    <w:rsid w:val="009F048F"/>
    <w:rsid w:val="00A12928"/>
    <w:rsid w:val="00A82196"/>
    <w:rsid w:val="00A96C08"/>
    <w:rsid w:val="00AC5899"/>
    <w:rsid w:val="00B15340"/>
    <w:rsid w:val="00B71FB9"/>
    <w:rsid w:val="00B87695"/>
    <w:rsid w:val="00B928EF"/>
    <w:rsid w:val="00BD4490"/>
    <w:rsid w:val="00BE1FD4"/>
    <w:rsid w:val="00C07F80"/>
    <w:rsid w:val="00C6130E"/>
    <w:rsid w:val="00C678ED"/>
    <w:rsid w:val="00D33F83"/>
    <w:rsid w:val="00D543D9"/>
    <w:rsid w:val="00DB01D4"/>
    <w:rsid w:val="00DD1A34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orwardplan@oxfor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495F-9D8E-4C78-9808-FEA8CF5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8BE2D731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JMitchell</cp:lastModifiedBy>
  <cp:revision>3</cp:revision>
  <cp:lastPrinted>2015-07-27T09:35:00Z</cp:lastPrinted>
  <dcterms:created xsi:type="dcterms:W3CDTF">2020-02-13T15:28:00Z</dcterms:created>
  <dcterms:modified xsi:type="dcterms:W3CDTF">2020-02-13T15:42:00Z</dcterms:modified>
</cp:coreProperties>
</file>